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7124F4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0F3FF1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</w:t>
      </w:r>
      <w:r w:rsidR="004A1845"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C7DC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A1845"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7124F4">
        <w:rPr>
          <w:rFonts w:ascii="Times New Roman" w:hAnsi="Times New Roman" w:cs="Times New Roman"/>
          <w:bCs w:val="0"/>
          <w:sz w:val="28"/>
          <w:szCs w:val="28"/>
        </w:rPr>
        <w:t xml:space="preserve"> Широкий Буерак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7124F4">
              <w:rPr>
                <w:rFonts w:ascii="Times New Roman" w:hAnsi="Times New Roman"/>
                <w:sz w:val="28"/>
                <w:szCs w:val="28"/>
              </w:rPr>
              <w:t>Широкобуеракского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8C7DC1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25июня2021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7124F4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</w:t>
      </w:r>
      <w:r w:rsidR="007124F4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</w:t>
      </w:r>
      <w:r w:rsidRPr="008C7DC1">
        <w:rPr>
          <w:rFonts w:ascii="Times New Roman" w:hAnsi="Times New Roman" w:cs="Times New Roman"/>
          <w:sz w:val="28"/>
          <w:szCs w:val="28"/>
        </w:rPr>
        <w:t xml:space="preserve">хозяйстве в границах населенных пунктов </w:t>
      </w:r>
      <w:r w:rsidR="007124F4" w:rsidRPr="008C7DC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8C7D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C7DC1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7124F4" w:rsidRPr="008C7DC1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8C7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DC1" w:rsidRPr="008C7DC1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 «А»;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сельского клуба с. Богородское, с. Богородское, ул. Октябрьская, 2 «А» (по согласованию);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 Молодежная, 29 (по согласованию);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фельдшерско-акушерского пункта с. Заветное, с. Заветное, ул. Тихая, 50 (по согласованию);</w:t>
      </w:r>
    </w:p>
    <w:p w:rsidR="007124F4" w:rsidRPr="00E63C20" w:rsidRDefault="007124F4" w:rsidP="007124F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3C20">
        <w:rPr>
          <w:rFonts w:ascii="Times New Roman" w:hAnsi="Times New Roman"/>
          <w:sz w:val="28"/>
          <w:szCs w:val="28"/>
          <w:lang w:eastAsia="ar-SA"/>
        </w:rPr>
        <w:t>- доска объявлений напротив д. 3 по ул. Народная с. Рощино.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0F3FF1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F3FF1">
        <w:rPr>
          <w:rFonts w:ascii="Times New Roman" w:hAnsi="Times New Roman" w:cs="Times New Roman"/>
          <w:sz w:val="28"/>
          <w:szCs w:val="28"/>
        </w:rPr>
        <w:t>10.01.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A602E1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0F3FF1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 xml:space="preserve"> Широкий Буерак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7124F4" w:rsidRDefault="004A1845" w:rsidP="007124F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7124F4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hyperlink r:id="rId7" w:history="1">
        <w:r w:rsidR="007124F4" w:rsidRPr="003A30DF">
          <w:rPr>
            <w:rFonts w:ascii="Times New Roman" w:hAnsi="Times New Roman"/>
            <w:bCs/>
            <w:sz w:val="28"/>
            <w:szCs w:val="28"/>
          </w:rPr>
          <w:t>https://</w:t>
        </w:r>
        <w:r w:rsidR="007124F4" w:rsidRPr="003A30DF">
          <w:rPr>
            <w:rFonts w:ascii="Times New Roman" w:hAnsi="Times New Roman"/>
            <w:bCs/>
            <w:sz w:val="28"/>
            <w:szCs w:val="28"/>
            <w:lang w:val="en-US"/>
          </w:rPr>
          <w:t>shirokobuerak</w:t>
        </w:r>
        <w:r w:rsidR="007124F4" w:rsidRPr="003A30DF">
          <w:rPr>
            <w:rFonts w:ascii="Times New Roman" w:hAnsi="Times New Roman"/>
            <w:bCs/>
            <w:sz w:val="28"/>
            <w:szCs w:val="28"/>
          </w:rPr>
          <w:t>skoe-r64.gosweb.gosuslugi.ru.</w:t>
        </w:r>
      </w:hyperlink>
    </w:p>
    <w:p w:rsidR="004A1845" w:rsidRPr="004A1845" w:rsidRDefault="004A1845" w:rsidP="00712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A602E1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="004A1845" w:rsidRPr="004A1845">
        <w:rPr>
          <w:rFonts w:ascii="Times New Roman" w:hAnsi="Times New Roman" w:cs="Times New Roman"/>
          <w:b/>
          <w:sz w:val="28"/>
          <w:szCs w:val="28"/>
        </w:rPr>
        <w:t>лав</w:t>
      </w:r>
      <w:r w:rsidR="000F3FF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4F4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0F3FF1">
        <w:rPr>
          <w:rFonts w:ascii="Times New Roman" w:hAnsi="Times New Roman" w:cs="Times New Roman"/>
          <w:b/>
          <w:sz w:val="28"/>
          <w:szCs w:val="28"/>
        </w:rPr>
        <w:t>Н.Д. Соболева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7124F4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Широкобуеракского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0F3FF1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0F3FF1">
        <w:rPr>
          <w:rFonts w:ascii="Times New Roman" w:hAnsi="Times New Roman" w:cs="Times New Roman"/>
        </w:rPr>
        <w:t>27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7124F4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Широкобуеракского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="00A602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7124F4">
        <w:rPr>
          <w:rFonts w:ascii="Times New Roman" w:eastAsia="Times New Roman" w:hAnsi="Times New Roman" w:cs="Times New Roman"/>
          <w:bCs/>
          <w:sz w:val="26"/>
          <w:szCs w:val="26"/>
        </w:rPr>
        <w:t>Широкобуеракского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</w:t>
      </w:r>
      <w:r w:rsidRPr="00A602E1">
        <w:rPr>
          <w:rFonts w:ascii="Times New Roman" w:hAnsi="Times New Roman" w:cs="Times New Roman"/>
          <w:sz w:val="26"/>
          <w:szCs w:val="26"/>
        </w:rPr>
        <w:t xml:space="preserve">законом от 06.10.2003 года № 131-ФЗ «Об общих принципах организации местного самоуправления в Российской Федерации», Уставом </w:t>
      </w:r>
      <w:r w:rsidR="007124F4" w:rsidRPr="00A602E1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A602E1">
        <w:rPr>
          <w:rFonts w:ascii="Times New Roman" w:hAnsi="Times New Roman" w:cs="Times New Roman"/>
          <w:sz w:val="26"/>
          <w:szCs w:val="26"/>
        </w:rPr>
        <w:t xml:space="preserve"> </w:t>
      </w:r>
      <w:r w:rsidR="00A602E1" w:rsidRPr="00A602E1">
        <w:rPr>
          <w:rFonts w:ascii="Times New Roman" w:hAnsi="Times New Roman" w:cs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A602E1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7124F4" w:rsidRPr="00A602E1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A602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7124F4" w:rsidRPr="00A602E1">
        <w:rPr>
          <w:rFonts w:ascii="Times New Roman" w:hAnsi="Times New Roman" w:cs="Times New Roman"/>
          <w:bCs/>
          <w:sz w:val="26"/>
          <w:szCs w:val="26"/>
        </w:rPr>
        <w:t>от 18.03.2022 г. №5/7-39</w:t>
      </w:r>
      <w:r w:rsidRPr="00A602E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A602E1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A602E1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</w:t>
      </w:r>
      <w:r w:rsidRPr="004A1845">
        <w:rPr>
          <w:rFonts w:ascii="Times New Roman" w:hAnsi="Times New Roman" w:cs="Times New Roman"/>
          <w:sz w:val="26"/>
          <w:szCs w:val="26"/>
        </w:rPr>
        <w:t xml:space="preserve">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A602E1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A602E1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EE4108" w:rsidRDefault="004A1845" w:rsidP="00C35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="00A602E1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</w:t>
      </w:r>
      <w:r w:rsidRPr="00EE4108">
        <w:rPr>
          <w:rFonts w:ascii="Times New Roman" w:hAnsi="Times New Roman" w:cs="Times New Roman"/>
          <w:sz w:val="26"/>
          <w:szCs w:val="26"/>
        </w:rPr>
        <w:t xml:space="preserve">«Безопасность автомобильных дорог», принятым Решением Комиссии Таможенного союза от 18 октября 2011 года № 827, Правилами </w:t>
      </w:r>
      <w:r w:rsidR="00EE4108" w:rsidRPr="00EE4108">
        <w:rPr>
          <w:rFonts w:ascii="Times New Roman" w:eastAsia="Times New Roman" w:hAnsi="Times New Roman" w:cs="Times New Roman"/>
          <w:sz w:val="26"/>
          <w:szCs w:val="26"/>
        </w:rPr>
        <w:t>благоустройства и озеленения на территории  Широкобуеракского муниципального образования</w:t>
      </w:r>
      <w:r w:rsidRPr="00EE4108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7124F4" w:rsidRPr="00EE4108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E41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</w:t>
      </w:r>
      <w:r w:rsidR="007124F4" w:rsidRPr="00EE4108">
        <w:rPr>
          <w:rFonts w:ascii="Times New Roman" w:hAnsi="Times New Roman" w:cs="Times New Roman"/>
          <w:sz w:val="26"/>
          <w:szCs w:val="26"/>
        </w:rPr>
        <w:t>№4/15-45(с изменениями от  31.01.2019 г. №4/35-115, от 16.12.2019 г. №4/46-159, от 30.06.2020 года №4/52-178, от 30.12.2021 г. № 5/4-24</w:t>
      </w:r>
      <w:r w:rsidR="00EE4108" w:rsidRPr="00EE4108">
        <w:rPr>
          <w:rFonts w:ascii="Times New Roman" w:hAnsi="Times New Roman" w:cs="Times New Roman"/>
          <w:sz w:val="26"/>
          <w:szCs w:val="26"/>
        </w:rPr>
        <w:t xml:space="preserve">, от </w:t>
      </w:r>
      <w:r w:rsidR="00EE4108" w:rsidRPr="00EE4108">
        <w:rPr>
          <w:rFonts w:ascii="Times New Roman" w:eastAsia="Times New Roman" w:hAnsi="Times New Roman" w:cs="Times New Roman"/>
          <w:bCs/>
          <w:sz w:val="26"/>
          <w:szCs w:val="26"/>
        </w:rPr>
        <w:t>14.11.2022 г. № 5/11-56</w:t>
      </w:r>
      <w:r w:rsidR="00EE4108" w:rsidRPr="00EE4108">
        <w:rPr>
          <w:rFonts w:ascii="Times New Roman" w:hAnsi="Times New Roman" w:cs="Times New Roman"/>
          <w:sz w:val="26"/>
          <w:szCs w:val="26"/>
        </w:rPr>
        <w:t xml:space="preserve">, </w:t>
      </w:r>
      <w:r w:rsidR="00EE4108" w:rsidRPr="00EE4108">
        <w:rPr>
          <w:rFonts w:ascii="Times New Roman" w:eastAsia="Times New Roman" w:hAnsi="Times New Roman" w:cs="Times New Roman"/>
          <w:sz w:val="26"/>
          <w:szCs w:val="26"/>
        </w:rPr>
        <w:t>от 27.12.2023 г. №5/24-99</w:t>
      </w:r>
      <w:r w:rsidR="007124F4" w:rsidRPr="00EE4108">
        <w:rPr>
          <w:rFonts w:ascii="Times New Roman" w:hAnsi="Times New Roman" w:cs="Times New Roman"/>
          <w:sz w:val="26"/>
          <w:szCs w:val="26"/>
        </w:rPr>
        <w:t>)</w:t>
      </w:r>
      <w:r w:rsidR="00C35EFA" w:rsidRPr="00EE4108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108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7124F4">
        <w:rPr>
          <w:sz w:val="26"/>
          <w:szCs w:val="26"/>
        </w:rPr>
        <w:t>Широкобуеракского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7124F4">
        <w:rPr>
          <w:rStyle w:val="a6"/>
          <w:rFonts w:ascii="Times New Roman" w:hAnsi="Times New Roman" w:cs="Times New Roman"/>
          <w:i w:val="0"/>
          <w:sz w:val="26"/>
          <w:szCs w:val="26"/>
        </w:rPr>
        <w:t>Широкобуеракского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5"/>
          <w:szCs w:val="25"/>
        </w:rPr>
        <w:t>Широкобуеракского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="00A602E1">
        <w:rPr>
          <w:rFonts w:ascii="Times New Roman" w:hAnsi="Times New Roman" w:cs="Times New Roman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C35EFA">
        <w:rPr>
          <w:rStyle w:val="a6"/>
          <w:i w:val="0"/>
          <w:sz w:val="26"/>
          <w:szCs w:val="26"/>
        </w:rPr>
        <w:t xml:space="preserve">сайте </w:t>
      </w:r>
      <w:r w:rsidR="007124F4">
        <w:rPr>
          <w:rStyle w:val="a6"/>
          <w:i w:val="0"/>
          <w:sz w:val="26"/>
          <w:szCs w:val="26"/>
        </w:rPr>
        <w:t>Широкобуеракского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C35EFA" w:rsidRPr="00C35EFA">
        <w:rPr>
          <w:rStyle w:val="a6"/>
          <w:i w:val="0"/>
          <w:sz w:val="26"/>
          <w:szCs w:val="26"/>
        </w:rPr>
        <w:t>https://shirokobuerakskoe-r64.gosweb.gosuslugi.ru</w:t>
      </w:r>
      <w:r w:rsidRPr="004A1845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="00A602E1">
        <w:rPr>
          <w:rStyle w:val="a6"/>
          <w:i w:val="0"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7124F4">
        <w:rPr>
          <w:sz w:val="26"/>
          <w:szCs w:val="26"/>
        </w:rPr>
        <w:t>Широкобуеракского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C35EFA">
        <w:rPr>
          <w:rFonts w:ascii="Times New Roman" w:eastAsia="Times New Roman" w:hAnsi="Times New Roman" w:cs="Times New Roman"/>
          <w:sz w:val="26"/>
          <w:szCs w:val="26"/>
        </w:rPr>
        <w:t xml:space="preserve">Широкобуеракском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7124F4">
              <w:rPr>
                <w:rFonts w:ascii="Times New Roman" w:hAnsi="Times New Roman" w:cs="Times New Roman"/>
                <w:sz w:val="26"/>
                <w:szCs w:val="26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="00A602E1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0F75" w:rsidRPr="004A1845" w:rsidRDefault="00780F7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A602E1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>лав</w:t>
      </w:r>
      <w:r w:rsidR="00BD56C4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4F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BD56C4">
        <w:rPr>
          <w:rFonts w:ascii="Times New Roman" w:hAnsi="Times New Roman" w:cs="Times New Roman"/>
          <w:b/>
          <w:sz w:val="26"/>
          <w:szCs w:val="26"/>
        </w:rPr>
        <w:t>Н.Д. Соболева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7124F4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Широкобуеракского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A602E1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4A1845" w:rsidRPr="004A1845">
        <w:rPr>
          <w:rFonts w:ascii="Times New Roman" w:hAnsi="Times New Roman" w:cs="Times New Roman"/>
          <w:b/>
          <w:sz w:val="26"/>
          <w:szCs w:val="26"/>
        </w:rPr>
        <w:t>лав</w:t>
      </w:r>
      <w:r w:rsidR="00BD56C4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4F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BD56C4">
        <w:rPr>
          <w:rFonts w:ascii="Times New Roman" w:hAnsi="Times New Roman" w:cs="Times New Roman"/>
          <w:b/>
          <w:sz w:val="26"/>
          <w:szCs w:val="26"/>
        </w:rPr>
        <w:t>Н.Д. Соболева</w:t>
      </w:r>
      <w:bookmarkStart w:id="0" w:name="_GoBack"/>
      <w:bookmarkEnd w:id="0"/>
    </w:p>
    <w:sectPr w:rsidR="00783918" w:rsidRPr="004A1845" w:rsidSect="007901D8">
      <w:footerReference w:type="default" r:id="rId8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63" w:rsidRDefault="00975763" w:rsidP="006A51A9">
      <w:pPr>
        <w:spacing w:after="0" w:line="240" w:lineRule="auto"/>
      </w:pPr>
      <w:r>
        <w:separator/>
      </w:r>
    </w:p>
  </w:endnote>
  <w:endnote w:type="continuationSeparator" w:id="1">
    <w:p w:rsidR="00975763" w:rsidRDefault="00975763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1E4B24">
        <w:pPr>
          <w:pStyle w:val="ae"/>
          <w:jc w:val="center"/>
        </w:pPr>
        <w:r>
          <w:rPr>
            <w:noProof/>
          </w:rPr>
          <w:fldChar w:fldCharType="begin"/>
        </w:r>
        <w:r w:rsidR="007E03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8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63" w:rsidRDefault="00975763" w:rsidP="006A51A9">
      <w:pPr>
        <w:spacing w:after="0" w:line="240" w:lineRule="auto"/>
      </w:pPr>
      <w:r>
        <w:separator/>
      </w:r>
    </w:p>
  </w:footnote>
  <w:footnote w:type="continuationSeparator" w:id="1">
    <w:p w:rsidR="00975763" w:rsidRDefault="00975763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F3FF1"/>
    <w:rsid w:val="001B47B4"/>
    <w:rsid w:val="001E225C"/>
    <w:rsid w:val="001E4B24"/>
    <w:rsid w:val="001F17AC"/>
    <w:rsid w:val="00202DD4"/>
    <w:rsid w:val="00207953"/>
    <w:rsid w:val="002A2312"/>
    <w:rsid w:val="002A5DDC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124F4"/>
    <w:rsid w:val="00722802"/>
    <w:rsid w:val="00726AEF"/>
    <w:rsid w:val="00775528"/>
    <w:rsid w:val="00780F75"/>
    <w:rsid w:val="007827A4"/>
    <w:rsid w:val="00783918"/>
    <w:rsid w:val="007901D8"/>
    <w:rsid w:val="007E032A"/>
    <w:rsid w:val="00876F9E"/>
    <w:rsid w:val="008A40ED"/>
    <w:rsid w:val="008B026F"/>
    <w:rsid w:val="008C7DC1"/>
    <w:rsid w:val="008E04F4"/>
    <w:rsid w:val="009063D3"/>
    <w:rsid w:val="00907505"/>
    <w:rsid w:val="00975763"/>
    <w:rsid w:val="009820D5"/>
    <w:rsid w:val="009F2219"/>
    <w:rsid w:val="00A44103"/>
    <w:rsid w:val="00A602E1"/>
    <w:rsid w:val="00A76E1A"/>
    <w:rsid w:val="00AB4F98"/>
    <w:rsid w:val="00B9404B"/>
    <w:rsid w:val="00BD56C4"/>
    <w:rsid w:val="00C35EFA"/>
    <w:rsid w:val="00C601F1"/>
    <w:rsid w:val="00C91C09"/>
    <w:rsid w:val="00CE4F65"/>
    <w:rsid w:val="00D04DEF"/>
    <w:rsid w:val="00D12AD4"/>
    <w:rsid w:val="00D27A68"/>
    <w:rsid w:val="00D37212"/>
    <w:rsid w:val="00D75584"/>
    <w:rsid w:val="00D91C6D"/>
    <w:rsid w:val="00D94AED"/>
    <w:rsid w:val="00DD450C"/>
    <w:rsid w:val="00DF0022"/>
    <w:rsid w:val="00DF2DD1"/>
    <w:rsid w:val="00E318E7"/>
    <w:rsid w:val="00EE4108"/>
    <w:rsid w:val="00EE4CD4"/>
    <w:rsid w:val="00EE6FB0"/>
    <w:rsid w:val="00F81C7A"/>
    <w:rsid w:val="00FC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33</cp:revision>
  <dcterms:created xsi:type="dcterms:W3CDTF">2022-10-06T13:22:00Z</dcterms:created>
  <dcterms:modified xsi:type="dcterms:W3CDTF">2024-12-11T10:37:00Z</dcterms:modified>
</cp:coreProperties>
</file>